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05F2E973"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r w:rsidR="00224FC9">
        <w:rPr>
          <w:rFonts w:ascii="Arial" w:eastAsia="Times New Roman" w:hAnsi="Arial" w:cs="Arial"/>
          <w:color w:val="FF0000"/>
          <w:sz w:val="19"/>
          <w:szCs w:val="19"/>
          <w:shd w:val="clear" w:color="auto" w:fill="FFFFFF"/>
        </w:rPr>
        <w:t>; Figure 3E</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r w:rsidR="00B9197F">
        <w:rPr>
          <w:rFonts w:ascii="Arial" w:eastAsia="Times New Roman" w:hAnsi="Arial" w:cs="Arial"/>
          <w:color w:val="FF0000"/>
          <w:sz w:val="19"/>
          <w:szCs w:val="19"/>
          <w:shd w:val="clear" w:color="auto" w:fill="FFFFFF"/>
        </w:rPr>
        <w:t xml:space="preserve"> Figure</w:t>
      </w:r>
      <w:r w:rsidR="003869C7">
        <w:rPr>
          <w:rFonts w:ascii="Arial" w:eastAsia="Times New Roman" w:hAnsi="Arial" w:cs="Arial"/>
          <w:color w:val="FF0000"/>
          <w:sz w:val="19"/>
          <w:szCs w:val="19"/>
          <w:shd w:val="clear" w:color="auto" w:fill="FFFFFF"/>
        </w:rPr>
        <w:t xml:space="preserve"> </w:t>
      </w:r>
      <w:r w:rsidR="00056A3F">
        <w:rPr>
          <w:rFonts w:ascii="Arial" w:eastAsia="Times New Roman" w:hAnsi="Arial" w:cs="Arial"/>
          <w:color w:val="FF0000"/>
          <w:sz w:val="19"/>
          <w:szCs w:val="19"/>
          <w:shd w:val="clear" w:color="auto" w:fill="FFFFFF"/>
        </w:rPr>
        <w:t>3</w:t>
      </w:r>
      <w:r w:rsidR="00B9197F">
        <w:rPr>
          <w:rFonts w:ascii="Arial" w:eastAsia="Times New Roman" w:hAnsi="Arial" w:cs="Arial"/>
          <w:color w:val="FF0000"/>
          <w:sz w:val="19"/>
          <w:szCs w:val="19"/>
          <w:shd w:val="clear" w:color="auto" w:fill="FFFFFF"/>
        </w:rPr>
        <w:t>F; 1D of this response</w:t>
      </w:r>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r w:rsidR="001779EB">
        <w:rPr>
          <w:rFonts w:ascii="Arial" w:eastAsia="Times New Roman" w:hAnsi="Arial" w:cs="Arial"/>
          <w:color w:val="FF0000"/>
          <w:sz w:val="19"/>
          <w:szCs w:val="19"/>
          <w:shd w:val="clear" w:color="auto" w:fill="FFFFFF"/>
        </w:rPr>
        <w:t xml:space="preserve"> (Figure 1B of this response)</w:t>
      </w:r>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The increase in dexamethasone consumption may reflect that the obese dexamethasone-treated mice were severely diabetic which may cause increased water intake,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223296">
        <w:rPr>
          <w:rFonts w:ascii="Arial" w:eastAsia="Times New Roman" w:hAnsi="Arial" w:cs="Arial"/>
          <w:color w:val="FF0000"/>
          <w:sz w:val="19"/>
          <w:szCs w:val="19"/>
          <w:shd w:val="clear" w:color="auto" w:fill="FFFFFF"/>
        </w:rPr>
        <w:t>Consistent with increased fluid intake, s</w:t>
      </w:r>
      <w:r w:rsidR="00F14452">
        <w:rPr>
          <w:rFonts w:ascii="Arial" w:eastAsia="Times New Roman" w:hAnsi="Arial" w:cs="Arial"/>
          <w:color w:val="FF0000"/>
          <w:sz w:val="19"/>
          <w:szCs w:val="19"/>
          <w:shd w:val="clear" w:color="auto" w:fill="FFFFFF"/>
        </w:rPr>
        <w:t>erum dexame</w:t>
      </w:r>
      <w:r w:rsidR="00223296">
        <w:rPr>
          <w:rFonts w:ascii="Arial" w:eastAsia="Times New Roman" w:hAnsi="Arial" w:cs="Arial"/>
          <w:color w:val="FF0000"/>
          <w:sz w:val="19"/>
          <w:szCs w:val="19"/>
          <w:shd w:val="clear" w:color="auto" w:fill="FFFFFF"/>
        </w:rPr>
        <w:t>thasone concentrations were</w:t>
      </w:r>
      <w:r w:rsidR="00F14452">
        <w:rPr>
          <w:rFonts w:ascii="Arial" w:eastAsia="Times New Roman" w:hAnsi="Arial" w:cs="Arial"/>
          <w:color w:val="FF0000"/>
          <w:sz w:val="19"/>
          <w:szCs w:val="19"/>
          <w:shd w:val="clear" w:color="auto" w:fill="FFFFFF"/>
        </w:rPr>
        <w:t xml:space="preserve"> higher in the obese dexamethasone-treated mice at the end of the experiment</w:t>
      </w:r>
      <w:r w:rsidR="00E31372">
        <w:rPr>
          <w:rFonts w:ascii="Arial" w:eastAsia="Times New Roman" w:hAnsi="Arial" w:cs="Arial"/>
          <w:color w:val="FF0000"/>
          <w:sz w:val="19"/>
          <w:szCs w:val="19"/>
          <w:shd w:val="clear" w:color="auto" w:fill="FFFFFF"/>
        </w:rPr>
        <w:t xml:space="preserve"> (Figure 3F</w:t>
      </w:r>
      <w:r w:rsidR="0064571E">
        <w:rPr>
          <w:rFonts w:ascii="Arial" w:eastAsia="Times New Roman" w:hAnsi="Arial" w:cs="Arial"/>
          <w:color w:val="FF0000"/>
          <w:sz w:val="19"/>
          <w:szCs w:val="19"/>
          <w:shd w:val="clear" w:color="auto" w:fill="FFFFFF"/>
        </w:rPr>
        <w:t>; 1D of this response)</w:t>
      </w:r>
      <w:r w:rsidR="00F14452">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064FE812" w:rsidR="00B60D2F" w:rsidRPr="00684C38" w:rsidRDefault="00375C86" w:rsidP="00684C38">
      <w:pPr>
        <w:ind w:left="720"/>
        <w:rPr>
          <w:rFonts w:ascii="Arial" w:hAnsi="Arial" w:cs="Arial"/>
          <w:b/>
          <w:color w:val="FF0000"/>
          <w:sz w:val="19"/>
          <w:szCs w:val="19"/>
        </w:rPr>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w:t>
      </w:r>
      <w:r w:rsidR="006C5976">
        <w:rPr>
          <w:rFonts w:ascii="Arial" w:eastAsia="Times New Roman" w:hAnsi="Arial" w:cs="Arial"/>
          <w:b/>
          <w:color w:val="FF0000"/>
          <w:sz w:val="19"/>
          <w:szCs w:val="19"/>
          <w:shd w:val="clear" w:color="auto" w:fill="FFFFFF"/>
        </w:rPr>
        <w:t xml:space="preserve"> and Mass Spectrometry</w:t>
      </w:r>
      <w:r w:rsidR="00131ED6">
        <w:rPr>
          <w:rFonts w:ascii="Arial" w:eastAsia="Times New Roman" w:hAnsi="Arial" w:cs="Arial"/>
          <w:b/>
          <w:color w:val="FF0000"/>
          <w:sz w:val="19"/>
          <w:szCs w:val="19"/>
          <w:shd w:val="clear" w:color="auto" w:fill="FFFFFF"/>
        </w:rPr>
        <w:t xml:space="preserve">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r w:rsidR="00B60D2F" w:rsidRPr="00684C38">
        <w:rPr>
          <w:rFonts w:ascii="Arial" w:hAnsi="Arial" w:cs="Arial"/>
          <w:b/>
          <w:color w:val="FF0000"/>
          <w:sz w:val="19"/>
          <w:szCs w:val="19"/>
        </w:rPr>
        <w:t>Dexamethasone standard was used to make a calibration curve from 2.5 to 100 ng/</w:t>
      </w:r>
      <w:proofErr w:type="spellStart"/>
      <w:r w:rsidR="00B60D2F" w:rsidRPr="00684C38">
        <w:rPr>
          <w:rFonts w:ascii="Arial" w:hAnsi="Arial" w:cs="Arial"/>
          <w:b/>
          <w:color w:val="FF0000"/>
          <w:sz w:val="19"/>
          <w:szCs w:val="19"/>
        </w:rPr>
        <w:t>mL.</w:t>
      </w:r>
      <w:proofErr w:type="spellEnd"/>
      <w:r w:rsidR="00B60D2F" w:rsidRPr="00684C38">
        <w:rPr>
          <w:rFonts w:ascii="Arial" w:hAnsi="Arial" w:cs="Arial"/>
          <w:b/>
          <w:color w:val="FF0000"/>
          <w:sz w:val="19"/>
          <w:szCs w:val="19"/>
        </w:rPr>
        <w:t xml:space="preserve"> A separate weighing of dexamethasone was used to make quality control standards at 3 and 30 ng/</w:t>
      </w:r>
      <w:proofErr w:type="spellStart"/>
      <w:r w:rsidR="00B60D2F" w:rsidRPr="00684C38">
        <w:rPr>
          <w:rFonts w:ascii="Arial" w:hAnsi="Arial" w:cs="Arial"/>
          <w:b/>
          <w:color w:val="FF0000"/>
          <w:sz w:val="19"/>
          <w:szCs w:val="19"/>
        </w:rPr>
        <w:t>mL.</w:t>
      </w:r>
      <w:proofErr w:type="spellEnd"/>
      <w:r w:rsidR="00B60D2F" w:rsidRPr="00684C38">
        <w:rPr>
          <w:rFonts w:ascii="Arial" w:hAnsi="Arial" w:cs="Arial"/>
          <w:b/>
          <w:color w:val="FF0000"/>
          <w:sz w:val="19"/>
          <w:szCs w:val="19"/>
        </w:rPr>
        <w:t xml:space="preserve"> Quality control standards were run in triplicate before and during sample analysis. For each calibration standard and quality control standard, 10 µL of blank plasma, 10 µL of calibration or QC standard, and 40 µL of internal standard were mixed in a 96-</w:t>
      </w:r>
      <w:proofErr w:type="gramStart"/>
      <w:r w:rsidR="00B60D2F" w:rsidRPr="00684C38">
        <w:rPr>
          <w:rFonts w:ascii="Arial" w:hAnsi="Arial" w:cs="Arial"/>
          <w:b/>
          <w:color w:val="FF0000"/>
          <w:sz w:val="19"/>
          <w:szCs w:val="19"/>
        </w:rPr>
        <w:t>well</w:t>
      </w:r>
      <w:proofErr w:type="gramEnd"/>
      <w:r w:rsidR="00B60D2F" w:rsidRPr="00684C38">
        <w:rPr>
          <w:rFonts w:ascii="Arial" w:hAnsi="Arial" w:cs="Arial"/>
          <w:b/>
          <w:color w:val="FF0000"/>
          <w:sz w:val="19"/>
          <w:szCs w:val="19"/>
        </w:rPr>
        <w:t xml:space="preserve"> plate. Each analytical sample was prepared by mixing 10 µL mouse plasma, 10 µL acetonitrile and 40 µL internal standard into a well of a 96-</w:t>
      </w:r>
      <w:proofErr w:type="gramStart"/>
      <w:r w:rsidR="00B60D2F" w:rsidRPr="00684C38">
        <w:rPr>
          <w:rFonts w:ascii="Arial" w:hAnsi="Arial" w:cs="Arial"/>
          <w:b/>
          <w:color w:val="FF0000"/>
          <w:sz w:val="19"/>
          <w:szCs w:val="19"/>
        </w:rPr>
        <w:t>well</w:t>
      </w:r>
      <w:proofErr w:type="gramEnd"/>
      <w:r w:rsidR="00B60D2F" w:rsidRPr="00684C38">
        <w:rPr>
          <w:rFonts w:ascii="Arial" w:hAnsi="Arial" w:cs="Arial"/>
          <w:b/>
          <w:color w:val="FF0000"/>
          <w:sz w:val="19"/>
          <w:szCs w:val="19"/>
        </w:rPr>
        <w:t xml:space="preserve"> plate. Some samples were below 10 µL in volume. In these cases, the volume collected was diluted to 10 µL and prepared in the same manner as the other samples. The plate was mixed at 1000 rpm for 5 min, then centrifuged at 3500 rpm for 10 min. Four microliters of supernatant were injected for analysis onto a Waters </w:t>
      </w:r>
      <w:proofErr w:type="spellStart"/>
      <w:r w:rsidR="00B60D2F" w:rsidRPr="00684C38">
        <w:rPr>
          <w:rFonts w:ascii="Arial" w:hAnsi="Arial" w:cs="Arial"/>
          <w:b/>
          <w:color w:val="FF0000"/>
          <w:sz w:val="19"/>
          <w:szCs w:val="19"/>
        </w:rPr>
        <w:t>Xevo</w:t>
      </w:r>
      <w:proofErr w:type="spellEnd"/>
      <w:r w:rsidR="00B60D2F" w:rsidRPr="00684C38">
        <w:rPr>
          <w:rFonts w:ascii="Arial" w:hAnsi="Arial" w:cs="Arial"/>
          <w:b/>
          <w:color w:val="FF0000"/>
          <w:sz w:val="19"/>
          <w:szCs w:val="19"/>
        </w:rPr>
        <w:t xml:space="preserve"> TQD triple quadrupole UPLC mass spectrometer for analysis.</w:t>
      </w:r>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2BD48E1C"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 xml:space="preserve">over the duration of the experiment (Figure </w:t>
      </w:r>
      <w:r w:rsidR="00E7183D">
        <w:rPr>
          <w:rFonts w:ascii="Arial" w:eastAsia="Times New Roman" w:hAnsi="Arial" w:cs="Arial"/>
          <w:b/>
          <w:color w:val="FF0000"/>
          <w:sz w:val="19"/>
          <w:szCs w:val="19"/>
          <w:shd w:val="clear" w:color="auto" w:fill="FFFFFF"/>
        </w:rPr>
        <w:lastRenderedPageBreak/>
        <w:t>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484E25">
        <w:rPr>
          <w:rFonts w:ascii="Arial" w:eastAsia="Times New Roman" w:hAnsi="Arial" w:cs="Arial"/>
          <w:b/>
          <w:color w:val="FF0000"/>
          <w:sz w:val="19"/>
          <w:szCs w:val="19"/>
          <w:shd w:val="clear" w:color="auto" w:fill="FFFFFF"/>
        </w:rPr>
        <w:t xml:space="preserve"> to a 47</w:t>
      </w:r>
      <w:bookmarkStart w:id="0" w:name="_GoBack"/>
      <w:bookmarkEnd w:id="0"/>
      <w:r w:rsidR="00E96EA3">
        <w:rPr>
          <w:rFonts w:ascii="Arial" w:eastAsia="Times New Roman" w:hAnsi="Arial" w:cs="Arial"/>
          <w:b/>
          <w:color w:val="FF0000"/>
          <w:sz w:val="19"/>
          <w:szCs w:val="19"/>
          <w:shd w:val="clear" w:color="auto" w:fill="FFFFFF"/>
        </w:rPr>
        <w:t xml:space="preserve">% increase </w:t>
      </w:r>
      <w:r>
        <w:rPr>
          <w:rFonts w:ascii="Arial" w:eastAsia="Times New Roman" w:hAnsi="Arial" w:cs="Arial"/>
          <w:b/>
          <w:color w:val="FF0000"/>
          <w:sz w:val="19"/>
          <w:szCs w:val="19"/>
          <w:shd w:val="clear" w:color="auto" w:fill="FFFFFF"/>
        </w:rPr>
        <w:t>when normalized to the animal’s body weight</w:t>
      </w:r>
      <w:r w:rsidR="0028308B">
        <w:rPr>
          <w:rFonts w:ascii="Arial" w:eastAsia="Times New Roman" w:hAnsi="Arial" w:cs="Arial"/>
          <w:b/>
          <w:color w:val="FF0000"/>
          <w:sz w:val="19"/>
          <w:szCs w:val="19"/>
          <w:shd w:val="clear" w:color="auto" w:fill="FFFFFF"/>
        </w:rPr>
        <w:t>, 92% increase when not normalized to body weight</w:t>
      </w:r>
      <w:r>
        <w:rPr>
          <w:rFonts w:ascii="Arial" w:eastAsia="Times New Roman" w:hAnsi="Arial" w:cs="Arial"/>
          <w:b/>
          <w:color w:val="FF0000"/>
          <w:sz w:val="19"/>
          <w:szCs w:val="19"/>
          <w:shd w:val="clear" w:color="auto" w:fill="FFFFFF"/>
        </w:rPr>
        <w: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-fold increase in serum 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190807"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5E79977F"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r w:rsidR="0032101C">
        <w:rPr>
          <w:rFonts w:ascii="Arial" w:eastAsia="Times New Roman" w:hAnsi="Arial" w:cs="Arial"/>
          <w:b/>
          <w:color w:val="FF0000"/>
          <w:sz w:val="19"/>
          <w:szCs w:val="19"/>
          <w:shd w:val="clear" w:color="auto" w:fill="FFFFFF"/>
        </w:rPr>
        <w:t xml:space="preserve"> increasing amounts of</w:t>
      </w:r>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resulting in increased serum dexamethasone at sacrifice</w:t>
      </w:r>
      <w:r w:rsidR="00EC5145">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xml:space="preserve">, although we note that several phenotypes including fasting glucose, liver triglycerides, hepatic </w:t>
      </w:r>
      <w:proofErr w:type="spellStart"/>
      <w:r w:rsidR="001C5F02">
        <w:rPr>
          <w:rFonts w:ascii="Arial" w:eastAsia="Times New Roman" w:hAnsi="Arial" w:cs="Arial"/>
          <w:b/>
          <w:color w:val="FF0000"/>
          <w:sz w:val="19"/>
          <w:szCs w:val="19"/>
          <w:shd w:val="clear" w:color="auto" w:fill="FFFFFF"/>
        </w:rPr>
        <w:t>lipogenic</w:t>
      </w:r>
      <w:proofErr w:type="spellEnd"/>
      <w:r w:rsidR="001C5F02">
        <w:rPr>
          <w:rFonts w:ascii="Arial" w:eastAsia="Times New Roman" w:hAnsi="Arial" w:cs="Arial"/>
          <w:b/>
          <w:color w:val="FF0000"/>
          <w:sz w:val="19"/>
          <w:szCs w:val="19"/>
          <w:shd w:val="clear" w:color="auto" w:fill="FFFFFF"/>
        </w:rPr>
        <w:t xml:space="preserve"> gene expression, and adipose tissue mass changed in different directions in lean and obese animals</w:t>
      </w:r>
      <w:r w:rsidR="00A2761F">
        <w:rPr>
          <w:rFonts w:ascii="Arial" w:eastAsia="Times New Roman" w:hAnsi="Arial" w:cs="Arial"/>
          <w:b/>
          <w:color w:val="FF0000"/>
          <w:sz w:val="19"/>
          <w:szCs w:val="19"/>
          <w:shd w:val="clear" w:color="auto" w:fill="FFFFFF"/>
        </w:rPr>
        <w:t>,</w:t>
      </w:r>
      <w:r w:rsidR="0032101C">
        <w:rPr>
          <w:rFonts w:ascii="Arial" w:eastAsia="Times New Roman" w:hAnsi="Arial" w:cs="Arial"/>
          <w:b/>
          <w:color w:val="FF0000"/>
          <w:sz w:val="19"/>
          <w:szCs w:val="19"/>
          <w:shd w:val="clear" w:color="auto" w:fill="FFFFFF"/>
        </w:rPr>
        <w:t xml:space="preserve"> and </w:t>
      </w:r>
      <w:r w:rsidR="001C5F02">
        <w:rPr>
          <w:rFonts w:ascii="Arial" w:eastAsia="Times New Roman" w:hAnsi="Arial" w:cs="Arial"/>
          <w:b/>
          <w:color w:val="FF0000"/>
          <w:sz w:val="19"/>
          <w:szCs w:val="19"/>
          <w:shd w:val="clear" w:color="auto" w:fill="FFFFFF"/>
        </w:rPr>
        <w:t xml:space="preserve">therefore </w:t>
      </w:r>
      <w:r w:rsidR="0032101C">
        <w:rPr>
          <w:rFonts w:ascii="Arial" w:eastAsia="Times New Roman" w:hAnsi="Arial" w:cs="Arial"/>
          <w:b/>
          <w:color w:val="FF0000"/>
          <w:sz w:val="19"/>
          <w:szCs w:val="19"/>
          <w:shd w:val="clear" w:color="auto" w:fill="FFFFFF"/>
        </w:rPr>
        <w:t xml:space="preserve">are </w:t>
      </w:r>
      <w:r w:rsidR="001C5F02">
        <w:rPr>
          <w:rFonts w:ascii="Arial" w:eastAsia="Times New Roman" w:hAnsi="Arial" w:cs="Arial"/>
          <w:b/>
          <w:color w:val="FF0000"/>
          <w:sz w:val="19"/>
          <w:szCs w:val="19"/>
          <w:shd w:val="clear" w:color="auto" w:fill="FFFFFF"/>
        </w:rPr>
        <w:t xml:space="preserve">unlikely </w:t>
      </w:r>
      <w:r w:rsidR="0032101C">
        <w:rPr>
          <w:rFonts w:ascii="Arial" w:eastAsia="Times New Roman" w:hAnsi="Arial" w:cs="Arial"/>
          <w:b/>
          <w:color w:val="FF0000"/>
          <w:sz w:val="19"/>
          <w:szCs w:val="19"/>
          <w:shd w:val="clear" w:color="auto" w:fill="FFFFFF"/>
        </w:rPr>
        <w:t xml:space="preserve">to be </w:t>
      </w:r>
      <w:r w:rsidR="001C5F02">
        <w:rPr>
          <w:rFonts w:ascii="Arial" w:eastAsia="Times New Roman" w:hAnsi="Arial" w:cs="Arial"/>
          <w:b/>
          <w:color w:val="FF0000"/>
          <w:sz w:val="19"/>
          <w:szCs w:val="19"/>
          <w:shd w:val="clear" w:color="auto" w:fill="FFFFFF"/>
        </w:rPr>
        <w:t>due to an increased dose of dexamethasone.</w:t>
      </w:r>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 xml:space="preserve">For example, dexamethasone </w:t>
      </w:r>
      <w:r w:rsidR="0039679F">
        <w:rPr>
          <w:rFonts w:ascii="Arial" w:eastAsia="Times New Roman" w:hAnsi="Arial" w:cs="Arial"/>
          <w:b/>
          <w:color w:val="FF0000"/>
          <w:sz w:val="19"/>
          <w:szCs w:val="19"/>
          <w:shd w:val="clear" w:color="auto" w:fill="FFFFFF"/>
        </w:rPr>
        <w:t>reduced</w:t>
      </w:r>
      <w:r w:rsidR="0032101C">
        <w:rPr>
          <w:rFonts w:ascii="Arial" w:eastAsia="Times New Roman" w:hAnsi="Arial" w:cs="Arial"/>
          <w:b/>
          <w:color w:val="FF0000"/>
          <w:sz w:val="19"/>
          <w:szCs w:val="19"/>
          <w:shd w:val="clear" w:color="auto" w:fill="FFFFFF"/>
        </w:rPr>
        <w:t xml:space="preserve"> fasting glucose levels in lean mice, but led to hyperglycemia in obese mice.</w:t>
      </w:r>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 xml:space="preserve">we have observed increased blood glucose and glycerol levels with less than one week of dexamethasone exposure in a smaller scale time course experiment (Figure 2 of this response).  At this stage, </w:t>
      </w:r>
      <w:r>
        <w:rPr>
          <w:rFonts w:ascii="Arial" w:eastAsia="Times New Roman" w:hAnsi="Arial" w:cs="Arial"/>
          <w:color w:val="FF0000"/>
          <w:sz w:val="19"/>
          <w:szCs w:val="19"/>
          <w:shd w:val="clear" w:color="auto" w:fill="FFFFFF"/>
        </w:rPr>
        <w:lastRenderedPageBreak/>
        <w:t>dexamethasone consumption is lower in the HFD group than the NCD group.  While we are willing to include 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r w:rsidRPr="00684C38">
        <w:rPr>
          <w:rFonts w:ascii="Arial" w:eastAsia="Times New Roman" w:hAnsi="Arial" w:cs="Arial"/>
          <w:b/>
          <w:noProof/>
          <w:color w:val="FF0000"/>
          <w:sz w:val="19"/>
          <w:szCs w:val="19"/>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v:textbox>
                <w10:wrap type="square"/>
              </v:shape>
            </w:pict>
          </mc:Fallback>
        </mc:AlternateContent>
      </w:r>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425F2FEB"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w:t>
      </w:r>
      <w:r w:rsidR="00223296">
        <w:rPr>
          <w:rFonts w:ascii="Arial" w:eastAsia="Times New Roman" w:hAnsi="Arial" w:cs="Arial"/>
          <w:color w:val="FF0000"/>
          <w:sz w:val="19"/>
          <w:szCs w:val="19"/>
        </w:rPr>
        <w:t xml:space="preserve"> that are not included in the manuscript</w:t>
      </w:r>
      <w:r w:rsidR="00DF16A0">
        <w:rPr>
          <w:rFonts w:ascii="Arial" w:eastAsia="Times New Roman" w:hAnsi="Arial" w:cs="Arial"/>
          <w:color w:val="FF0000"/>
          <w:sz w:val="19"/>
          <w:szCs w:val="19"/>
        </w:rPr>
        <w:t xml:space="preserve">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 xml:space="preserve">Reviewer 2: Authors assessed some metabolic effects of increased glucocorticoid in combination with obesity induced by hyper-caloric feeding (in mice). Authors speculate that this combination of events is present in "many individuals". </w:t>
      </w:r>
      <w:proofErr w:type="gramStart"/>
      <w:r w:rsidRPr="00DF16A0">
        <w:rPr>
          <w:rFonts w:ascii="Arial" w:eastAsia="Times New Roman" w:hAnsi="Arial" w:cs="Arial"/>
          <w:b/>
          <w:color w:val="222222"/>
          <w:sz w:val="19"/>
          <w:szCs w:val="19"/>
          <w:shd w:val="clear" w:color="auto" w:fill="FFFFFF"/>
        </w:rPr>
        <w:t>Therefore</w:t>
      </w:r>
      <w:proofErr w:type="gramEnd"/>
      <w:r w:rsidRPr="00DF16A0">
        <w:rPr>
          <w:rFonts w:ascii="Arial" w:eastAsia="Times New Roman" w:hAnsi="Arial" w:cs="Arial"/>
          <w:b/>
          <w:color w:val="222222"/>
          <w:sz w:val="19"/>
          <w:szCs w:val="19"/>
          <w:shd w:val="clear" w:color="auto" w:fill="FFFFFF"/>
        </w:rPr>
        <w:t xml:space="preserv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34C92F71"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r w:rsidR="00DF7718">
        <w:rPr>
          <w:rFonts w:ascii="Arial" w:eastAsia="Times New Roman" w:hAnsi="Arial" w:cs="Arial"/>
          <w:color w:val="FF0000"/>
          <w:sz w:val="19"/>
          <w:szCs w:val="19"/>
          <w:shd w:val="clear" w:color="auto" w:fill="FFFFFF"/>
        </w:rPr>
        <w:t xml:space="preserve"> (Figure 1B of this response)</w:t>
      </w:r>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w:t>
      </w:r>
      <w:r w:rsidR="00DD08E4">
        <w:rPr>
          <w:rFonts w:ascii="Arial" w:eastAsia="Times New Roman" w:hAnsi="Arial" w:cs="Arial"/>
          <w:color w:val="FF0000"/>
          <w:sz w:val="19"/>
          <w:szCs w:val="19"/>
          <w:shd w:val="clear" w:color="auto" w:fill="FFFFFF"/>
        </w:rPr>
        <w:t xml:space="preserve"> following therapeutic doses </w:t>
      </w:r>
      <w:r w:rsidR="00DD08E4">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(5–7)</w:t>
      </w:r>
      <w:r w:rsidR="00DD08E4">
        <w:rPr>
          <w:rFonts w:ascii="Arial" w:eastAsia="Times New Roman" w:hAnsi="Arial" w:cs="Arial"/>
          <w:color w:val="FF0000"/>
          <w:sz w:val="19"/>
          <w:szCs w:val="19"/>
          <w:shd w:val="clear" w:color="auto" w:fill="FFFFFF"/>
        </w:rPr>
        <w:fldChar w:fldCharType="end"/>
      </w:r>
      <w:r w:rsidR="00DD08E4">
        <w:rPr>
          <w:rFonts w:ascii="Arial" w:eastAsia="Times New Roman" w:hAnsi="Arial" w:cs="Arial"/>
          <w:color w:val="FF0000"/>
          <w:sz w:val="19"/>
          <w:szCs w:val="19"/>
          <w:shd w:val="clear" w:color="auto" w:fill="FFFFFF"/>
        </w:rPr>
        <w:t xml:space="preserve"> and</w:t>
      </w:r>
      <w:r w:rsidR="006A4333">
        <w:rPr>
          <w:rFonts w:ascii="Arial" w:eastAsia="Times New Roman" w:hAnsi="Arial" w:cs="Arial"/>
          <w:color w:val="FF0000"/>
          <w:sz w:val="19"/>
          <w:szCs w:val="19"/>
          <w:shd w:val="clear" w:color="auto" w:fill="FFFFFF"/>
        </w:rPr>
        <w:t xml:space="preserve">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even when accounting for the increased potency of dexamethasone in comparison to cortisol</w:t>
      </w:r>
      <w:r w:rsidR="00C0378E">
        <w:rPr>
          <w:rFonts w:ascii="Arial" w:eastAsia="Times New Roman" w:hAnsi="Arial" w:cs="Arial"/>
          <w:color w:val="FF0000"/>
          <w:sz w:val="19"/>
          <w:szCs w:val="19"/>
          <w:shd w:val="clear" w:color="auto" w:fill="FFFFFF"/>
        </w:rPr>
        <w:t>,</w:t>
      </w:r>
      <w:r w:rsidR="00DD08E4">
        <w:rPr>
          <w:rFonts w:ascii="Arial" w:eastAsia="Times New Roman" w:hAnsi="Arial" w:cs="Arial"/>
          <w:color w:val="FF0000"/>
          <w:sz w:val="19"/>
          <w:szCs w:val="19"/>
          <w:shd w:val="clear" w:color="auto" w:fill="FFFFFF"/>
        </w:rPr>
        <w:t xml:space="preserve"> and similar to other studies in rodent models </w:t>
      </w:r>
      <w:r w:rsidR="00DD08E4">
        <w:rPr>
          <w:rFonts w:ascii="Arial" w:eastAsia="Times New Roman" w:hAnsi="Arial" w:cs="Arial"/>
          <w:color w:val="FF0000"/>
          <w:sz w:val="19"/>
          <w:szCs w:val="19"/>
          <w:shd w:val="clear" w:color="auto" w:fill="FFFFFF"/>
        </w:rPr>
        <w:fldChar w:fldCharType="begin" w:fldLock="1"/>
      </w:r>
      <w:r w:rsidR="00115556">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"container-title" : "Endocinology", "id" : "ITEM-1", "issue" : "9",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(10)</w:t>
      </w:r>
      <w:r w:rsidR="00DD08E4">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72EF29B9"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lastRenderedPageBreak/>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similar to those observed</w:t>
      </w:r>
      <w:r w:rsidR="00E64407">
        <w:rPr>
          <w:rFonts w:ascii="Arial" w:eastAsia="Times New Roman" w:hAnsi="Arial" w:cs="Arial"/>
          <w:b/>
          <w:color w:val="FF0000"/>
          <w:sz w:val="19"/>
          <w:szCs w:val="19"/>
          <w:shd w:val="clear" w:color="auto" w:fill="FFFFFF"/>
        </w:rPr>
        <w:t xml:space="preserve"> following therapeutic doses of glucocorticoids </w:t>
      </w:r>
      <w:r w:rsidR="00E64407">
        <w:rPr>
          <w:rFonts w:ascii="Arial" w:eastAsia="Times New Roman" w:hAnsi="Arial" w:cs="Arial"/>
          <w:color w:val="FF0000"/>
          <w:sz w:val="19"/>
          <w:szCs w:val="19"/>
          <w:shd w:val="clear" w:color="auto" w:fill="FFFFFF"/>
        </w:rPr>
        <w:fldChar w:fldCharType="begin" w:fldLock="1"/>
      </w:r>
      <w:r w:rsidR="00E64407">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E64407">
        <w:rPr>
          <w:rFonts w:ascii="Arial" w:eastAsia="Times New Roman" w:hAnsi="Arial" w:cs="Arial"/>
          <w:color w:val="FF0000"/>
          <w:sz w:val="19"/>
          <w:szCs w:val="19"/>
          <w:shd w:val="clear" w:color="auto" w:fill="FFFFFF"/>
        </w:rPr>
        <w:fldChar w:fldCharType="separate"/>
      </w:r>
      <w:r w:rsidR="00E64407" w:rsidRPr="00DD08E4">
        <w:rPr>
          <w:rFonts w:ascii="Arial" w:eastAsia="Times New Roman" w:hAnsi="Arial" w:cs="Arial"/>
          <w:noProof/>
          <w:color w:val="FF0000"/>
          <w:sz w:val="19"/>
          <w:szCs w:val="19"/>
          <w:shd w:val="clear" w:color="auto" w:fill="FFFFFF"/>
        </w:rPr>
        <w:t>(5–7)</w:t>
      </w:r>
      <w:r w:rsidR="00E64407">
        <w:rPr>
          <w:rFonts w:ascii="Arial" w:eastAsia="Times New Roman" w:hAnsi="Arial" w:cs="Arial"/>
          <w:color w:val="FF0000"/>
          <w:sz w:val="19"/>
          <w:szCs w:val="19"/>
          <w:shd w:val="clear" w:color="auto" w:fill="FFFFFF"/>
        </w:rPr>
        <w:fldChar w:fldCharType="end"/>
      </w:r>
      <w:r w:rsidR="00E64407">
        <w:rPr>
          <w:rFonts w:ascii="Arial" w:eastAsia="Times New Roman" w:hAnsi="Arial" w:cs="Arial"/>
          <w:color w:val="FF0000"/>
          <w:sz w:val="19"/>
          <w:szCs w:val="19"/>
          <w:shd w:val="clear" w:color="auto" w:fill="FFFFFF"/>
        </w:rPr>
        <w:t xml:space="preserve"> </w:t>
      </w:r>
      <w:r w:rsidR="00E64407" w:rsidRPr="00456A43">
        <w:rPr>
          <w:rFonts w:ascii="Arial" w:eastAsia="Times New Roman" w:hAnsi="Arial" w:cs="Arial"/>
          <w:b/>
          <w:color w:val="FF0000"/>
          <w:sz w:val="19"/>
          <w:szCs w:val="19"/>
          <w:shd w:val="clear" w:color="auto" w:fill="FFFFFF"/>
        </w:rPr>
        <w:t>and</w:t>
      </w:r>
      <w:r w:rsidR="00E64407">
        <w:rPr>
          <w:rFonts w:ascii="Arial" w:eastAsia="Times New Roman" w:hAnsi="Arial" w:cs="Arial"/>
          <w:color w:val="FF0000"/>
          <w:sz w:val="19"/>
          <w:szCs w:val="19"/>
          <w:shd w:val="clear" w:color="auto" w:fill="FFFFFF"/>
        </w:rPr>
        <w:t xml:space="preserve"> </w:t>
      </w:r>
      <w:r w:rsidR="0015217E">
        <w:rPr>
          <w:rFonts w:ascii="Arial" w:eastAsia="Times New Roman" w:hAnsi="Arial" w:cs="Arial"/>
          <w:b/>
          <w:color w:val="FF0000"/>
          <w:sz w:val="19"/>
          <w:szCs w:val="19"/>
          <w:shd w:val="clear" w:color="auto" w:fill="FFFFFF"/>
        </w:rPr>
        <w:t xml:space="preserve">in Cushing’s </w:t>
      </w:r>
      <w:r w:rsidR="00DF7718">
        <w:rPr>
          <w:rFonts w:ascii="Arial" w:eastAsia="Times New Roman" w:hAnsi="Arial" w:cs="Arial"/>
          <w:b/>
          <w:color w:val="FF0000"/>
          <w:sz w:val="19"/>
          <w:szCs w:val="19"/>
          <w:shd w:val="clear" w:color="auto" w:fill="FFFFFF"/>
        </w:rPr>
        <w:t>s</w:t>
      </w:r>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w:t>
      </w:r>
      <w:r w:rsidR="00E64407">
        <w:rPr>
          <w:rFonts w:ascii="Arial" w:eastAsia="Times New Roman" w:hAnsi="Arial" w:cs="Arial"/>
          <w:b/>
          <w:color w:val="FF0000"/>
          <w:sz w:val="19"/>
          <w:szCs w:val="19"/>
          <w:shd w:val="clear" w:color="auto" w:fill="FFFFFF"/>
        </w:rPr>
        <w:t xml:space="preserve">, and similar to </w:t>
      </w:r>
      <w:r w:rsidR="00D745BB">
        <w:rPr>
          <w:rFonts w:ascii="Arial" w:eastAsia="Times New Roman" w:hAnsi="Arial" w:cs="Arial"/>
          <w:b/>
          <w:color w:val="FF0000"/>
          <w:sz w:val="19"/>
          <w:szCs w:val="19"/>
          <w:shd w:val="clear" w:color="auto" w:fill="FFFFFF"/>
        </w:rPr>
        <w:t xml:space="preserve">other studies investigating glucocorticoid-induced metabolic effects in rodent models </w:t>
      </w:r>
      <w:r w:rsidR="00D745BB">
        <w:rPr>
          <w:rFonts w:ascii="Arial" w:eastAsia="Times New Roman" w:hAnsi="Arial" w:cs="Arial"/>
          <w:color w:val="FF0000"/>
          <w:sz w:val="19"/>
          <w:szCs w:val="19"/>
          <w:shd w:val="clear" w:color="auto" w:fill="FFFFFF"/>
        </w:rPr>
        <w:fldChar w:fldCharType="begin" w:fldLock="1"/>
      </w:r>
      <w:r w:rsidR="00115556">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"container-title" : "Endocinology", "id" : "ITEM-1", "issue" : "9",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745BB">
        <w:rPr>
          <w:rFonts w:ascii="Arial" w:eastAsia="Times New Roman" w:hAnsi="Arial" w:cs="Arial"/>
          <w:color w:val="FF0000"/>
          <w:sz w:val="19"/>
          <w:szCs w:val="19"/>
          <w:shd w:val="clear" w:color="auto" w:fill="FFFFFF"/>
        </w:rPr>
        <w:fldChar w:fldCharType="separate"/>
      </w:r>
      <w:r w:rsidR="00D745BB" w:rsidRPr="00DD08E4">
        <w:rPr>
          <w:rFonts w:ascii="Arial" w:eastAsia="Times New Roman" w:hAnsi="Arial" w:cs="Arial"/>
          <w:noProof/>
          <w:color w:val="FF0000"/>
          <w:sz w:val="19"/>
          <w:szCs w:val="19"/>
          <w:shd w:val="clear" w:color="auto" w:fill="FFFFFF"/>
        </w:rPr>
        <w:t>(10)</w:t>
      </w:r>
      <w:r w:rsidR="00D745BB">
        <w:rPr>
          <w:rFonts w:ascii="Arial" w:eastAsia="Times New Roman" w:hAnsi="Arial" w:cs="Arial"/>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0342897F"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w:t>
      </w:r>
      <w:r w:rsidR="00456A43">
        <w:rPr>
          <w:rFonts w:ascii="Arial" w:eastAsia="Times New Roman" w:hAnsi="Arial" w:cs="Arial"/>
          <w:color w:val="FF0000"/>
          <w:sz w:val="19"/>
          <w:szCs w:val="19"/>
          <w:shd w:val="clear" w:color="auto" w:fill="FFFFFF"/>
        </w:rPr>
        <w:t>elevated endogenous</w:t>
      </w:r>
      <w:r w:rsidR="005847DE">
        <w:rPr>
          <w:rFonts w:ascii="Arial" w:eastAsia="Times New Roman" w:hAnsi="Arial" w:cs="Arial"/>
          <w:color w:val="FF0000"/>
          <w:sz w:val="19"/>
          <w:szCs w:val="19"/>
          <w:shd w:val="clear" w:color="auto" w:fill="FFFFFF"/>
        </w:rPr>
        <w:t xml:space="preserve">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r w:rsidR="002F1C12">
        <w:rPr>
          <w:rFonts w:ascii="Arial" w:eastAsia="Times New Roman" w:hAnsi="Arial" w:cs="Arial"/>
          <w:color w:val="FF0000"/>
          <w:sz w:val="19"/>
          <w:szCs w:val="19"/>
          <w:shd w:val="clear" w:color="auto" w:fill="FFFFFF"/>
        </w:rPr>
        <w:t>corresponds to</w:t>
      </w:r>
      <w:r w:rsidR="00D10AB5">
        <w:rPr>
          <w:rFonts w:ascii="Arial" w:eastAsia="Times New Roman" w:hAnsi="Arial" w:cs="Arial"/>
          <w:color w:val="FF0000"/>
          <w:sz w:val="19"/>
          <w:szCs w:val="19"/>
          <w:shd w:val="clear" w:color="auto" w:fill="FFFFFF"/>
        </w:rPr>
        <w:t xml:space="preserve">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6C3800FC"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r w:rsidR="004829E8">
        <w:rPr>
          <w:rFonts w:ascii="Arial" w:eastAsia="Times New Roman" w:hAnsi="Arial" w:cs="Arial"/>
          <w:b/>
          <w:color w:val="FF0000"/>
          <w:sz w:val="19"/>
          <w:szCs w:val="19"/>
          <w:shd w:val="clear" w:color="auto" w:fill="FFFFFF"/>
        </w:rPr>
        <w:t xml:space="preserve">levels </w:t>
      </w:r>
      <w:r>
        <w:rPr>
          <w:rFonts w:ascii="Arial" w:eastAsia="Times New Roman" w:hAnsi="Arial" w:cs="Arial"/>
          <w:b/>
          <w:color w:val="FF0000"/>
          <w:sz w:val="19"/>
          <w:szCs w:val="19"/>
          <w:shd w:val="clear" w:color="auto" w:fill="FFFFFF"/>
        </w:rPr>
        <w:t xml:space="preserve">or phosphorylation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r w:rsidR="0077278E">
        <w:rPr>
          <w:rFonts w:ascii="Arial" w:eastAsia="Times New Roman" w:hAnsi="Arial" w:cs="Arial"/>
          <w:b/>
          <w:color w:val="FF0000"/>
          <w:sz w:val="19"/>
          <w:szCs w:val="19"/>
          <w:shd w:val="clear" w:color="auto" w:fill="FFFFFF"/>
        </w:rPr>
        <w:t>2</w:t>
      </w:r>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63A66AF0" w:rsidR="005847DE" w:rsidRPr="00750B5E" w:rsidRDefault="00944FB9"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There were no</w:t>
      </w:r>
      <w:r w:rsidR="00307878">
        <w:rPr>
          <w:rFonts w:ascii="Arial" w:eastAsia="Times New Roman" w:hAnsi="Arial" w:cs="Arial"/>
          <w:b/>
          <w:color w:val="FF0000"/>
          <w:sz w:val="19"/>
          <w:szCs w:val="19"/>
          <w:shd w:val="clear" w:color="auto" w:fill="FFFFFF"/>
        </w:rPr>
        <w:t xml:space="preserve"> significant differences in</w:t>
      </w:r>
      <w:r w:rsidR="00DD11DD">
        <w:rPr>
          <w:rFonts w:ascii="Arial" w:eastAsia="Times New Roman" w:hAnsi="Arial" w:cs="Arial"/>
          <w:b/>
          <w:color w:val="FF0000"/>
          <w:sz w:val="19"/>
          <w:szCs w:val="19"/>
          <w:shd w:val="clear" w:color="auto" w:fill="FFFFFF"/>
        </w:rPr>
        <w:t xml:space="preserve"> the effects of</w:t>
      </w:r>
      <w:r w:rsidR="00307878">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sidR="00307878">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sidR="00307878">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r w:rsidR="004829E8">
        <w:rPr>
          <w:rFonts w:ascii="Arial" w:eastAsia="Times New Roman" w:hAnsi="Arial" w:cs="Arial"/>
          <w:b/>
          <w:color w:val="FF0000"/>
          <w:sz w:val="19"/>
          <w:szCs w:val="19"/>
          <w:shd w:val="clear" w:color="auto" w:fill="FFFFFF"/>
        </w:rPr>
        <w:t xml:space="preserve">in part </w:t>
      </w:r>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 xml:space="preserve">3) Fig. 1A: In relative terms, insulin-induced changes in </w:t>
      </w:r>
      <w:proofErr w:type="spellStart"/>
      <w:r w:rsidRPr="00DD20C6">
        <w:rPr>
          <w:rFonts w:ascii="Arial" w:eastAsia="Times New Roman" w:hAnsi="Arial" w:cs="Arial"/>
          <w:color w:val="222222"/>
          <w:sz w:val="19"/>
          <w:szCs w:val="19"/>
          <w:shd w:val="clear" w:color="auto" w:fill="FFFFFF"/>
        </w:rPr>
        <w:t>glycemia</w:t>
      </w:r>
      <w:proofErr w:type="spellEnd"/>
      <w:r w:rsidRPr="00DD20C6">
        <w:rPr>
          <w:rFonts w:ascii="Arial" w:eastAsia="Times New Roman" w:hAnsi="Arial" w:cs="Arial"/>
          <w:color w:val="222222"/>
          <w:sz w:val="19"/>
          <w:szCs w:val="19"/>
          <w:shd w:val="clear" w:color="auto" w:fill="FFFFFF"/>
        </w:rPr>
        <w:t xml:space="preserve">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lastRenderedPageBreak/>
        <w:t>4) Fig. 1C-F: What is the effect of glucocorticoid treatment on these parameters in NCD mice? Are these effects exacerbated in HFD?</w:t>
      </w:r>
    </w:p>
    <w:p w14:paraId="4B721AB6" w14:textId="77777777" w:rsidR="00843B64" w:rsidRDefault="00843B64"/>
    <w:p w14:paraId="5EC88EAF" w14:textId="62713B8B"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 xml:space="preserve">curve (C), hepatic glucose production (D) and glucose turnover (E) for lean mice during at basal and during </w:t>
                            </w:r>
                            <w:proofErr w:type="spellStart"/>
                            <w:r w:rsidRPr="00AD2FA5">
                              <w:rPr>
                                <w:sz w:val="19"/>
                                <w:szCs w:val="19"/>
                              </w:rPr>
                              <w:t>euglycemic</w:t>
                            </w:r>
                            <w:proofErr w:type="spellEnd"/>
                            <w:r w:rsidRPr="00AD2FA5">
                              <w:rPr>
                                <w:sz w:val="19"/>
                                <w:szCs w:val="19"/>
                              </w:rPr>
                              <w:t xml:space="preserve"> clamp following 3 weeks of dexamethasone (n=10) or vehicle (n=13) treatment. For clamp experiments, insulin was infused at 4 </w:t>
                            </w:r>
                            <w:proofErr w:type="spellStart"/>
                            <w:r w:rsidRPr="00AD2FA5">
                              <w:rPr>
                                <w:sz w:val="19"/>
                                <w:szCs w:val="19"/>
                              </w:rPr>
                              <w:t>mU</w:t>
                            </w:r>
                            <w:proofErr w:type="spellEnd"/>
                            <w:r w:rsidRPr="00AD2FA5">
                              <w:rPr>
                                <w:sz w:val="19"/>
                                <w:szCs w:val="19"/>
                              </w:rPr>
                              <w:t>/kg/</w:t>
                            </w:r>
                            <w:r w:rsidRPr="009F19F0">
                              <w:rPr>
                                <w:sz w:val="19"/>
                                <w:szCs w:val="19"/>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C1AEE0" id="_x0000_t202" coordsize="21600,21600" o:spt="202" path="m,l,21600r21600,l21600,xe">
                <v:stroke joinstyle="miter"/>
                <v:path gradientshapeok="t" o:connecttype="rect"/>
              </v:shapetype>
              <v:shape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"(12,13)", "plainTextFormattedCitation" : "(12,13)", "previouslyFormattedCitation" : "(12,13)"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(12,13)</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056A3F">
        <w:rPr>
          <w:rFonts w:ascii="Arial" w:eastAsia="Times New Roman" w:hAnsi="Arial" w:cs="Arial"/>
          <w:color w:val="FF0000"/>
          <w:sz w:val="19"/>
          <w:szCs w:val="19"/>
          <w:shd w:val="clear" w:color="auto" w:fill="FFFFFF"/>
        </w:rPr>
        <w:t xml:space="preserve"> (see Supplementary Figure 1G</w:t>
      </w:r>
      <w:r w:rsidR="00DE4DFD">
        <w:rPr>
          <w:rFonts w:ascii="Arial" w:eastAsia="Times New Roman" w:hAnsi="Arial" w:cs="Arial"/>
          <w:color w:val="FF0000"/>
          <w:sz w:val="19"/>
          <w:szCs w:val="19"/>
          <w:shd w:val="clear" w:color="auto" w:fill="FFFFFF"/>
        </w:rPr>
        <w:t>)</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r w:rsidR="00EE3026">
        <w:rPr>
          <w:rFonts w:ascii="Arial" w:eastAsia="Times New Roman" w:hAnsi="Arial" w:cs="Arial"/>
          <w:color w:val="FF0000"/>
          <w:sz w:val="19"/>
          <w:szCs w:val="19"/>
          <w:shd w:val="clear" w:color="auto" w:fill="FFFFFF"/>
        </w:rPr>
        <w:t xml:space="preserve"> to</w:t>
      </w:r>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r w:rsidR="00EE3026">
        <w:rPr>
          <w:rFonts w:ascii="Arial" w:eastAsia="Times New Roman" w:hAnsi="Arial" w:cs="Arial"/>
          <w:color w:val="FF0000"/>
          <w:sz w:val="19"/>
          <w:szCs w:val="19"/>
          <w:shd w:val="clear" w:color="auto" w:fill="FFFFFF"/>
        </w:rPr>
        <w:t>here.</w:t>
      </w:r>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52A36FDA"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39679F">
        <w:rPr>
          <w:rFonts w:ascii="Arial" w:eastAsia="Times New Roman" w:hAnsi="Arial" w:cs="Arial"/>
          <w:b/>
          <w:color w:val="000000" w:themeColor="text1"/>
          <w:sz w:val="32"/>
          <w:szCs w:val="19"/>
          <w:shd w:val="clear" w:color="auto" w:fill="FFFFFF"/>
        </w:rPr>
        <w:t>References</w:t>
      </w:r>
      <w:r w:rsidR="0039679F">
        <w:rPr>
          <w:rFonts w:ascii="Arial" w:eastAsia="Times New Roman" w:hAnsi="Arial" w:cs="Arial"/>
          <w:b/>
          <w:color w:val="000000" w:themeColor="text1"/>
          <w:sz w:val="32"/>
          <w:szCs w:val="19"/>
          <w:shd w:val="clear" w:color="auto" w:fill="FFFFFF"/>
        </w:rPr>
        <w:t xml:space="preserve"> for this Response</w:t>
      </w:r>
    </w:p>
    <w:p w14:paraId="79D1936D" w14:textId="0772FA40" w:rsidR="00115556" w:rsidRPr="00115556" w:rsidRDefault="003629DC" w:rsidP="00115556">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115556" w:rsidRPr="00115556">
        <w:rPr>
          <w:rFonts w:ascii="Arial" w:eastAsia="Times New Roman" w:hAnsi="Arial" w:cs="Arial"/>
          <w:noProof/>
          <w:sz w:val="20"/>
        </w:rPr>
        <w:t xml:space="preserve">1. </w:t>
      </w:r>
      <w:r w:rsidR="00115556" w:rsidRPr="00115556">
        <w:rPr>
          <w:rFonts w:ascii="Arial" w:eastAsia="Times New Roman" w:hAnsi="Arial" w:cs="Arial"/>
          <w:noProof/>
          <w:sz w:val="20"/>
        </w:rPr>
        <w:tab/>
      </w:r>
      <w:r w:rsidR="00115556" w:rsidRPr="00115556">
        <w:rPr>
          <w:rFonts w:ascii="Arial" w:eastAsia="Times New Roman" w:hAnsi="Arial" w:cs="Arial"/>
          <w:b/>
          <w:bCs/>
          <w:noProof/>
          <w:sz w:val="20"/>
        </w:rPr>
        <w:t>Lee SM, Bressler R.</w:t>
      </w:r>
      <w:r w:rsidR="00115556" w:rsidRPr="00115556">
        <w:rPr>
          <w:rFonts w:ascii="Arial" w:eastAsia="Times New Roman" w:hAnsi="Arial" w:cs="Arial"/>
          <w:noProof/>
          <w:sz w:val="20"/>
        </w:rPr>
        <w:t xml:space="preserve"> Prevention of diabetic nephropathy by diet control in the db/db mouse. </w:t>
      </w:r>
      <w:r w:rsidR="00115556" w:rsidRPr="00115556">
        <w:rPr>
          <w:rFonts w:ascii="Arial" w:eastAsia="Times New Roman" w:hAnsi="Arial" w:cs="Arial"/>
          <w:i/>
          <w:iCs/>
          <w:noProof/>
          <w:sz w:val="20"/>
        </w:rPr>
        <w:t>Diabetes</w:t>
      </w:r>
      <w:r w:rsidR="00115556" w:rsidRPr="00115556">
        <w:rPr>
          <w:rFonts w:ascii="Arial" w:eastAsia="Times New Roman" w:hAnsi="Arial" w:cs="Arial"/>
          <w:noProof/>
          <w:sz w:val="20"/>
        </w:rPr>
        <w:t xml:space="preserve"> 1981;30(2):106–111.</w:t>
      </w:r>
    </w:p>
    <w:p w14:paraId="7811C830"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2. </w:t>
      </w:r>
      <w:r w:rsidRPr="00115556">
        <w:rPr>
          <w:rFonts w:ascii="Arial" w:eastAsia="Times New Roman" w:hAnsi="Arial" w:cs="Arial"/>
          <w:noProof/>
          <w:sz w:val="20"/>
        </w:rPr>
        <w:tab/>
      </w:r>
      <w:r w:rsidRPr="00115556">
        <w:rPr>
          <w:rFonts w:ascii="Arial" w:eastAsia="Times New Roman" w:hAnsi="Arial" w:cs="Arial"/>
          <w:b/>
          <w:bCs/>
          <w:noProof/>
          <w:sz w:val="20"/>
        </w:rPr>
        <w:t>Tyrrell JB, Findling JW, Aron DC, Fitzgerald PA, Forsham PH.</w:t>
      </w:r>
      <w:r w:rsidRPr="00115556">
        <w:rPr>
          <w:rFonts w:ascii="Arial" w:eastAsia="Times New Roman" w:hAnsi="Arial" w:cs="Arial"/>
          <w:noProof/>
          <w:sz w:val="20"/>
        </w:rPr>
        <w:t xml:space="preserve"> An overnight high-dose dexamethasone suppression test for rapid differential diagnosis of Cushing’s syndrome. </w:t>
      </w:r>
      <w:r w:rsidRPr="00115556">
        <w:rPr>
          <w:rFonts w:ascii="Arial" w:eastAsia="Times New Roman" w:hAnsi="Arial" w:cs="Arial"/>
          <w:i/>
          <w:iCs/>
          <w:noProof/>
          <w:sz w:val="20"/>
        </w:rPr>
        <w:t>Ann.Intern.Med.</w:t>
      </w:r>
      <w:r w:rsidRPr="00115556">
        <w:rPr>
          <w:rFonts w:ascii="Arial" w:eastAsia="Times New Roman" w:hAnsi="Arial" w:cs="Arial"/>
          <w:noProof/>
          <w:sz w:val="20"/>
        </w:rPr>
        <w:t xml:space="preserve"> 1986;104:180–186.</w:t>
      </w:r>
    </w:p>
    <w:p w14:paraId="5D39C28F"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3. </w:t>
      </w:r>
      <w:r w:rsidRPr="00115556">
        <w:rPr>
          <w:rFonts w:ascii="Arial" w:eastAsia="Times New Roman" w:hAnsi="Arial" w:cs="Arial"/>
          <w:noProof/>
          <w:sz w:val="20"/>
        </w:rPr>
        <w:tab/>
      </w:r>
      <w:r w:rsidRPr="00115556">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115556">
        <w:rPr>
          <w:rFonts w:ascii="Arial" w:eastAsia="Times New Roman" w:hAnsi="Arial" w:cs="Arial"/>
          <w:noProof/>
          <w:sz w:val="20"/>
        </w:rPr>
        <w:t xml:space="preserve"> Mifepristone, a Glucocorticoid Receptor Antagonist, Produces Clinical and Metabolic Benefits in Patients with Cushing’s Syndrome. </w:t>
      </w:r>
      <w:r w:rsidRPr="00115556">
        <w:rPr>
          <w:rFonts w:ascii="Arial" w:eastAsia="Times New Roman" w:hAnsi="Arial" w:cs="Arial"/>
          <w:i/>
          <w:iCs/>
          <w:noProof/>
          <w:sz w:val="20"/>
        </w:rPr>
        <w:t>J. Clin. Endocrinol. Metab.</w:t>
      </w:r>
      <w:r w:rsidRPr="00115556">
        <w:rPr>
          <w:rFonts w:ascii="Arial" w:eastAsia="Times New Roman" w:hAnsi="Arial" w:cs="Arial"/>
          <w:noProof/>
          <w:sz w:val="20"/>
        </w:rPr>
        <w:t xml:space="preserve"> 2012;97(6):2039–2049.</w:t>
      </w:r>
    </w:p>
    <w:p w14:paraId="0BE9E229"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4. </w:t>
      </w:r>
      <w:r w:rsidRPr="00115556">
        <w:rPr>
          <w:rFonts w:ascii="Arial" w:eastAsia="Times New Roman" w:hAnsi="Arial" w:cs="Arial"/>
          <w:noProof/>
          <w:sz w:val="20"/>
        </w:rPr>
        <w:tab/>
      </w:r>
      <w:r w:rsidRPr="00115556">
        <w:rPr>
          <w:rFonts w:ascii="Arial" w:eastAsia="Times New Roman" w:hAnsi="Arial" w:cs="Arial"/>
          <w:b/>
          <w:bCs/>
          <w:noProof/>
          <w:sz w:val="20"/>
        </w:rPr>
        <w:t>Medscape.</w:t>
      </w:r>
      <w:r w:rsidRPr="00115556">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2695FC30"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5. </w:t>
      </w:r>
      <w:r w:rsidRPr="00115556">
        <w:rPr>
          <w:rFonts w:ascii="Arial" w:eastAsia="Times New Roman" w:hAnsi="Arial" w:cs="Arial"/>
          <w:noProof/>
          <w:sz w:val="20"/>
        </w:rPr>
        <w:tab/>
      </w:r>
      <w:r w:rsidRPr="00115556">
        <w:rPr>
          <w:rFonts w:ascii="Arial" w:eastAsia="Times New Roman" w:hAnsi="Arial" w:cs="Arial"/>
          <w:b/>
          <w:bCs/>
          <w:noProof/>
          <w:sz w:val="20"/>
        </w:rPr>
        <w:t>Ballard PL, Granberg P BR.</w:t>
      </w:r>
      <w:r w:rsidRPr="00115556">
        <w:rPr>
          <w:rFonts w:ascii="Arial" w:eastAsia="Times New Roman" w:hAnsi="Arial" w:cs="Arial"/>
          <w:noProof/>
          <w:sz w:val="20"/>
        </w:rPr>
        <w:t xml:space="preserve"> Glucocorticoid level in maternal and cord serum after perinatal </w:t>
      </w:r>
      <w:r w:rsidRPr="00115556">
        <w:rPr>
          <w:rFonts w:ascii="Arial" w:eastAsia="Times New Roman" w:hAnsi="Arial" w:cs="Arial"/>
          <w:noProof/>
          <w:sz w:val="20"/>
        </w:rPr>
        <w:lastRenderedPageBreak/>
        <w:t xml:space="preserve">betamethasone therapy to prevent respiratory distress syndrome. </w:t>
      </w:r>
      <w:r w:rsidRPr="00115556">
        <w:rPr>
          <w:rFonts w:ascii="Arial" w:eastAsia="Times New Roman" w:hAnsi="Arial" w:cs="Arial"/>
          <w:i/>
          <w:iCs/>
          <w:noProof/>
          <w:sz w:val="20"/>
        </w:rPr>
        <w:t>J Clin Invest</w:t>
      </w:r>
      <w:r w:rsidRPr="00115556">
        <w:rPr>
          <w:rFonts w:ascii="Arial" w:eastAsia="Times New Roman" w:hAnsi="Arial" w:cs="Arial"/>
          <w:noProof/>
          <w:sz w:val="20"/>
        </w:rPr>
        <w:t xml:space="preserve"> 1975;56(1):1548–1554.</w:t>
      </w:r>
    </w:p>
    <w:p w14:paraId="62F8873D"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6. </w:t>
      </w:r>
      <w:r w:rsidRPr="00115556">
        <w:rPr>
          <w:rFonts w:ascii="Arial" w:eastAsia="Times New Roman" w:hAnsi="Arial" w:cs="Arial"/>
          <w:noProof/>
          <w:sz w:val="20"/>
        </w:rPr>
        <w:tab/>
      </w:r>
      <w:r w:rsidRPr="00115556">
        <w:rPr>
          <w:rFonts w:ascii="Arial" w:eastAsia="Times New Roman" w:hAnsi="Arial" w:cs="Arial"/>
          <w:b/>
          <w:bCs/>
          <w:noProof/>
          <w:sz w:val="20"/>
        </w:rPr>
        <w:t>Ballard PL, Ballard RA, Granberg JP, Sniderman S, Gluckman PD, Kaplan SL, Grumbach MM.</w:t>
      </w:r>
      <w:r w:rsidRPr="00115556">
        <w:rPr>
          <w:rFonts w:ascii="Arial" w:eastAsia="Times New Roman" w:hAnsi="Arial" w:cs="Arial"/>
          <w:noProof/>
          <w:sz w:val="20"/>
        </w:rPr>
        <w:t xml:space="preserve"> Fetal sex and prenatal betamethasone therapy. </w:t>
      </w:r>
      <w:r w:rsidRPr="00115556">
        <w:rPr>
          <w:rFonts w:ascii="Arial" w:eastAsia="Times New Roman" w:hAnsi="Arial" w:cs="Arial"/>
          <w:i/>
          <w:iCs/>
          <w:noProof/>
          <w:sz w:val="20"/>
        </w:rPr>
        <w:t>J. Pediatr.</w:t>
      </w:r>
      <w:r w:rsidRPr="00115556">
        <w:rPr>
          <w:rFonts w:ascii="Arial" w:eastAsia="Times New Roman" w:hAnsi="Arial" w:cs="Arial"/>
          <w:noProof/>
          <w:sz w:val="20"/>
        </w:rPr>
        <w:t xml:space="preserve"> 1980;97(3):451–454.</w:t>
      </w:r>
    </w:p>
    <w:p w14:paraId="73692C23"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7. </w:t>
      </w:r>
      <w:r w:rsidRPr="00115556">
        <w:rPr>
          <w:rFonts w:ascii="Arial" w:eastAsia="Times New Roman" w:hAnsi="Arial" w:cs="Arial"/>
          <w:noProof/>
          <w:sz w:val="20"/>
        </w:rPr>
        <w:tab/>
      </w:r>
      <w:r w:rsidRPr="00115556">
        <w:rPr>
          <w:rFonts w:ascii="Arial" w:eastAsia="Times New Roman" w:hAnsi="Arial" w:cs="Arial"/>
          <w:b/>
          <w:bCs/>
          <w:noProof/>
          <w:sz w:val="20"/>
        </w:rPr>
        <w:t>Weijtens O, Schoemaker RC, Cohen AF, Romijn FP h. t. m., Lentjes EG w. m., Van Rooij J, Van Meurs JC.</w:t>
      </w:r>
      <w:r w:rsidRPr="00115556">
        <w:rPr>
          <w:rFonts w:ascii="Arial" w:eastAsia="Times New Roman" w:hAnsi="Arial" w:cs="Arial"/>
          <w:noProof/>
          <w:sz w:val="20"/>
        </w:rPr>
        <w:t xml:space="preserve"> Dexamethasone concentration in vitreous and serum after oral administration. </w:t>
      </w:r>
      <w:r w:rsidRPr="00115556">
        <w:rPr>
          <w:rFonts w:ascii="Arial" w:eastAsia="Times New Roman" w:hAnsi="Arial" w:cs="Arial"/>
          <w:i/>
          <w:iCs/>
          <w:noProof/>
          <w:sz w:val="20"/>
        </w:rPr>
        <w:t>Am. J. Ophthalmol.</w:t>
      </w:r>
      <w:r w:rsidRPr="00115556">
        <w:rPr>
          <w:rFonts w:ascii="Arial" w:eastAsia="Times New Roman" w:hAnsi="Arial" w:cs="Arial"/>
          <w:noProof/>
          <w:sz w:val="20"/>
        </w:rPr>
        <w:t xml:space="preserve"> 1998;125(5):673–679.</w:t>
      </w:r>
    </w:p>
    <w:p w14:paraId="24CF3A05"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8. </w:t>
      </w:r>
      <w:r w:rsidRPr="00115556">
        <w:rPr>
          <w:rFonts w:ascii="Arial" w:eastAsia="Times New Roman" w:hAnsi="Arial" w:cs="Arial"/>
          <w:noProof/>
          <w:sz w:val="20"/>
        </w:rPr>
        <w:tab/>
      </w:r>
      <w:r w:rsidRPr="00115556">
        <w:rPr>
          <w:rFonts w:ascii="Arial" w:eastAsia="Times New Roman" w:hAnsi="Arial" w:cs="Arial"/>
          <w:b/>
          <w:bCs/>
          <w:noProof/>
          <w:sz w:val="20"/>
        </w:rPr>
        <w:t>Martin NM, Dhillo WS, Banerjee A, Abdulali A, Jayasena CN, Donaldson M, Todd JF, Meeran K.</w:t>
      </w:r>
      <w:r w:rsidRPr="00115556">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115556">
        <w:rPr>
          <w:rFonts w:ascii="Arial" w:eastAsia="Times New Roman" w:hAnsi="Arial" w:cs="Arial"/>
          <w:i/>
          <w:iCs/>
          <w:noProof/>
          <w:sz w:val="20"/>
        </w:rPr>
        <w:t>J. Clin. Endocrinol. Metab.</w:t>
      </w:r>
      <w:r w:rsidRPr="00115556">
        <w:rPr>
          <w:rFonts w:ascii="Arial" w:eastAsia="Times New Roman" w:hAnsi="Arial" w:cs="Arial"/>
          <w:noProof/>
          <w:sz w:val="20"/>
        </w:rPr>
        <w:t xml:space="preserve"> 2006;91(7):2582–2586.</w:t>
      </w:r>
    </w:p>
    <w:p w14:paraId="3CF19CAC"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9. </w:t>
      </w:r>
      <w:r w:rsidRPr="00115556">
        <w:rPr>
          <w:rFonts w:ascii="Arial" w:eastAsia="Times New Roman" w:hAnsi="Arial" w:cs="Arial"/>
          <w:noProof/>
          <w:sz w:val="20"/>
        </w:rPr>
        <w:tab/>
      </w:r>
      <w:r w:rsidRPr="00115556">
        <w:rPr>
          <w:rFonts w:ascii="Arial" w:eastAsia="Times New Roman" w:hAnsi="Arial" w:cs="Arial"/>
          <w:b/>
          <w:bCs/>
          <w:noProof/>
          <w:sz w:val="20"/>
        </w:rPr>
        <w:t>Papanicolaou DA, Yanovski JA, Cutler GB, Chrousos GP, Nieman LK.</w:t>
      </w:r>
      <w:r w:rsidRPr="00115556">
        <w:rPr>
          <w:rFonts w:ascii="Arial" w:eastAsia="Times New Roman" w:hAnsi="Arial" w:cs="Arial"/>
          <w:noProof/>
          <w:sz w:val="20"/>
        </w:rPr>
        <w:t xml:space="preserve"> Distinguishes Cushing ’ s Syndrome from Pseudo-Cushing. </w:t>
      </w:r>
      <w:r w:rsidRPr="00115556">
        <w:rPr>
          <w:rFonts w:ascii="Arial" w:eastAsia="Times New Roman" w:hAnsi="Arial" w:cs="Arial"/>
          <w:i/>
          <w:iCs/>
          <w:noProof/>
          <w:sz w:val="20"/>
        </w:rPr>
        <w:t>Endocrinol. Metab.</w:t>
      </w:r>
      <w:r w:rsidRPr="00115556">
        <w:rPr>
          <w:rFonts w:ascii="Arial" w:eastAsia="Times New Roman" w:hAnsi="Arial" w:cs="Arial"/>
          <w:noProof/>
          <w:sz w:val="20"/>
        </w:rPr>
        <w:t xml:space="preserve"> 2009;83(4):1163–1167.</w:t>
      </w:r>
    </w:p>
    <w:p w14:paraId="1C143792"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10. </w:t>
      </w:r>
      <w:r w:rsidRPr="00115556">
        <w:rPr>
          <w:rFonts w:ascii="Arial" w:eastAsia="Times New Roman" w:hAnsi="Arial" w:cs="Arial"/>
          <w:noProof/>
          <w:sz w:val="20"/>
        </w:rPr>
        <w:tab/>
      </w:r>
      <w:r w:rsidRPr="00115556">
        <w:rPr>
          <w:rFonts w:ascii="Arial" w:eastAsia="Times New Roman" w:hAnsi="Arial" w:cs="Arial"/>
          <w:b/>
          <w:bCs/>
          <w:noProof/>
          <w:sz w:val="20"/>
        </w:rPr>
        <w:t>Beaudry JL, Anna MD, Teich T, Tsushima R, Riddell MC.</w:t>
      </w:r>
      <w:r w:rsidRPr="00115556">
        <w:rPr>
          <w:rFonts w:ascii="Arial" w:eastAsia="Times New Roman" w:hAnsi="Arial" w:cs="Arial"/>
          <w:noProof/>
          <w:sz w:val="20"/>
        </w:rPr>
        <w:t xml:space="preserve"> Exogenous Glucocorticoids and a High-Fat Diet Cause Severe Hyperglycemia and Hyperinsulinemia and Sprague-Dawley Rats. </w:t>
      </w:r>
      <w:r w:rsidRPr="00115556">
        <w:rPr>
          <w:rFonts w:ascii="Arial" w:eastAsia="Times New Roman" w:hAnsi="Arial" w:cs="Arial"/>
          <w:i/>
          <w:iCs/>
          <w:noProof/>
          <w:sz w:val="20"/>
        </w:rPr>
        <w:t>Endocinology</w:t>
      </w:r>
      <w:r w:rsidRPr="00115556">
        <w:rPr>
          <w:rFonts w:ascii="Arial" w:eastAsia="Times New Roman" w:hAnsi="Arial" w:cs="Arial"/>
          <w:noProof/>
          <w:sz w:val="20"/>
        </w:rPr>
        <w:t xml:space="preserve"> 2013;154(9):3197–3208.</w:t>
      </w:r>
    </w:p>
    <w:p w14:paraId="4EA4A1A6"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11. </w:t>
      </w:r>
      <w:r w:rsidRPr="00115556">
        <w:rPr>
          <w:rFonts w:ascii="Arial" w:eastAsia="Times New Roman" w:hAnsi="Arial" w:cs="Arial"/>
          <w:noProof/>
          <w:sz w:val="20"/>
        </w:rPr>
        <w:tab/>
      </w:r>
      <w:r w:rsidRPr="00115556">
        <w:rPr>
          <w:rFonts w:ascii="Arial" w:eastAsia="Times New Roman" w:hAnsi="Arial" w:cs="Arial"/>
          <w:b/>
          <w:bCs/>
          <w:noProof/>
          <w:sz w:val="20"/>
        </w:rPr>
        <w:t>Gaidhu MP, Anthony NM, Patel P, Hawke TJ, Ceddia RB.</w:t>
      </w:r>
      <w:r w:rsidRPr="00115556">
        <w:rPr>
          <w:rFonts w:ascii="Arial" w:eastAsia="Times New Roman" w:hAnsi="Arial" w:cs="Arial"/>
          <w:noProof/>
          <w:sz w:val="20"/>
        </w:rPr>
        <w:t xml:space="preserve"> Dysregulation of lipolysis and lipid metabolism in visceral and subcutaneous adipocytes by high-fat diet: role of ATGL, HSL, and AMPK. </w:t>
      </w:r>
      <w:r w:rsidRPr="00115556">
        <w:rPr>
          <w:rFonts w:ascii="Arial" w:eastAsia="Times New Roman" w:hAnsi="Arial" w:cs="Arial"/>
          <w:i/>
          <w:iCs/>
          <w:noProof/>
          <w:sz w:val="20"/>
        </w:rPr>
        <w:t>Am. J. Physiol. - Cell Physiol.</w:t>
      </w:r>
      <w:r w:rsidRPr="00115556">
        <w:rPr>
          <w:rFonts w:ascii="Arial" w:eastAsia="Times New Roman" w:hAnsi="Arial" w:cs="Arial"/>
          <w:noProof/>
          <w:sz w:val="20"/>
        </w:rPr>
        <w:t xml:space="preserve"> 2010;298(4):C961–C971.</w:t>
      </w:r>
    </w:p>
    <w:p w14:paraId="1CDA2D55"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12. </w:t>
      </w:r>
      <w:r w:rsidRPr="00115556">
        <w:rPr>
          <w:rFonts w:ascii="Arial" w:eastAsia="Times New Roman" w:hAnsi="Arial" w:cs="Arial"/>
          <w:noProof/>
          <w:sz w:val="20"/>
        </w:rPr>
        <w:tab/>
      </w:r>
      <w:r w:rsidRPr="00115556">
        <w:rPr>
          <w:rFonts w:ascii="Arial" w:eastAsia="Times New Roman" w:hAnsi="Arial" w:cs="Arial"/>
          <w:b/>
          <w:bCs/>
          <w:noProof/>
          <w:sz w:val="20"/>
        </w:rPr>
        <w:t>Protzek AOP, Rezende LF, Costa-Júnior JM, Ferreira SM, Cappelli APG, Paula FMM De, Souza JC De, Kurauti MA, Carneiro EM, Rafacho A, Boschero AC.</w:t>
      </w:r>
      <w:r w:rsidRPr="00115556">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115556">
        <w:rPr>
          <w:rFonts w:ascii="Arial" w:eastAsia="Times New Roman" w:hAnsi="Arial" w:cs="Arial"/>
          <w:i/>
          <w:iCs/>
          <w:noProof/>
          <w:sz w:val="20"/>
        </w:rPr>
        <w:t>J. Steroid Biochem. Mol. Biol.</w:t>
      </w:r>
      <w:r w:rsidRPr="00115556">
        <w:rPr>
          <w:rFonts w:ascii="Arial" w:eastAsia="Times New Roman" w:hAnsi="Arial" w:cs="Arial"/>
          <w:noProof/>
          <w:sz w:val="20"/>
        </w:rPr>
        <w:t xml:space="preserve"> 2016;155:1–8.</w:t>
      </w:r>
    </w:p>
    <w:p w14:paraId="7909C90D" w14:textId="77777777" w:rsidR="00115556" w:rsidRPr="00115556" w:rsidRDefault="00115556" w:rsidP="00115556">
      <w:pPr>
        <w:widowControl w:val="0"/>
        <w:autoSpaceDE w:val="0"/>
        <w:autoSpaceDN w:val="0"/>
        <w:adjustRightInd w:val="0"/>
        <w:ind w:left="640" w:hanging="640"/>
        <w:rPr>
          <w:rFonts w:ascii="Arial" w:hAnsi="Arial" w:cs="Arial"/>
          <w:noProof/>
          <w:sz w:val="20"/>
        </w:rPr>
      </w:pPr>
      <w:r w:rsidRPr="00115556">
        <w:rPr>
          <w:rFonts w:ascii="Arial" w:eastAsia="Times New Roman" w:hAnsi="Arial" w:cs="Arial"/>
          <w:noProof/>
          <w:sz w:val="20"/>
        </w:rPr>
        <w:t xml:space="preserve">13. </w:t>
      </w:r>
      <w:r w:rsidRPr="00115556">
        <w:rPr>
          <w:rFonts w:ascii="Arial" w:eastAsia="Times New Roman" w:hAnsi="Arial" w:cs="Arial"/>
          <w:noProof/>
          <w:sz w:val="20"/>
        </w:rPr>
        <w:tab/>
      </w:r>
      <w:r w:rsidRPr="00115556">
        <w:rPr>
          <w:rFonts w:ascii="Arial" w:eastAsia="Times New Roman" w:hAnsi="Arial" w:cs="Arial"/>
          <w:b/>
          <w:bCs/>
          <w:noProof/>
          <w:sz w:val="20"/>
        </w:rPr>
        <w:t>Ali M, Plas C.</w:t>
      </w:r>
      <w:r w:rsidRPr="00115556">
        <w:rPr>
          <w:rFonts w:ascii="Arial" w:eastAsia="Times New Roman" w:hAnsi="Arial" w:cs="Arial"/>
          <w:noProof/>
          <w:sz w:val="20"/>
        </w:rPr>
        <w:t xml:space="preserve"> Glucocorticoid regulation of chloroquine nonsensitive insulin degradation in cultured fetal rat hypatocytes. </w:t>
      </w:r>
      <w:r w:rsidRPr="00115556">
        <w:rPr>
          <w:rFonts w:ascii="Arial" w:eastAsia="Times New Roman" w:hAnsi="Arial" w:cs="Arial"/>
          <w:i/>
          <w:iCs/>
          <w:noProof/>
          <w:sz w:val="20"/>
        </w:rPr>
        <w:t>J. Biol. Chem.</w:t>
      </w:r>
      <w:r w:rsidRPr="00115556">
        <w:rPr>
          <w:rFonts w:ascii="Arial" w:eastAsia="Times New Roman" w:hAnsi="Arial" w:cs="Arial"/>
          <w:noProof/>
          <w:sz w:val="20"/>
        </w:rPr>
        <w:t xml:space="preserve"> 1989;264(35):20992–20997.</w:t>
      </w:r>
    </w:p>
    <w:p w14:paraId="2E8E0F0B" w14:textId="08A6BC1D" w:rsidR="003629DC" w:rsidRDefault="003629DC" w:rsidP="00115556">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r w:rsidR="00DF3B30" w:rsidDel="00DF3B30">
        <w:rPr>
          <w:rFonts w:ascii="Arial" w:eastAsia="Times New Roman" w:hAnsi="Arial" w:cs="Arial"/>
          <w:color w:val="FF0000"/>
          <w:sz w:val="19"/>
          <w:szCs w:val="19"/>
          <w:shd w:val="clear" w:color="auto" w:fill="FFFFFF"/>
        </w:rPr>
        <w:t xml:space="preserve"> </w:t>
      </w:r>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A3F"/>
    <w:rsid w:val="00056AB2"/>
    <w:rsid w:val="00056B8B"/>
    <w:rsid w:val="000641F6"/>
    <w:rsid w:val="000649C6"/>
    <w:rsid w:val="00067223"/>
    <w:rsid w:val="00090431"/>
    <w:rsid w:val="000A7FCF"/>
    <w:rsid w:val="000C02F1"/>
    <w:rsid w:val="000C2168"/>
    <w:rsid w:val="000E5F63"/>
    <w:rsid w:val="000F12CA"/>
    <w:rsid w:val="000F1EB6"/>
    <w:rsid w:val="001152F7"/>
    <w:rsid w:val="0011550A"/>
    <w:rsid w:val="00115556"/>
    <w:rsid w:val="00120D8D"/>
    <w:rsid w:val="00122E92"/>
    <w:rsid w:val="00122F40"/>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3296"/>
    <w:rsid w:val="00224FC9"/>
    <w:rsid w:val="002323FA"/>
    <w:rsid w:val="00235908"/>
    <w:rsid w:val="00240721"/>
    <w:rsid w:val="002504B6"/>
    <w:rsid w:val="00253A0E"/>
    <w:rsid w:val="00264818"/>
    <w:rsid w:val="00272449"/>
    <w:rsid w:val="0028308B"/>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9679F"/>
    <w:rsid w:val="003B6A09"/>
    <w:rsid w:val="003C20E5"/>
    <w:rsid w:val="003E25D1"/>
    <w:rsid w:val="003F6249"/>
    <w:rsid w:val="004019FB"/>
    <w:rsid w:val="00407D23"/>
    <w:rsid w:val="00413741"/>
    <w:rsid w:val="00434BB4"/>
    <w:rsid w:val="00435C2D"/>
    <w:rsid w:val="004361D0"/>
    <w:rsid w:val="0044021E"/>
    <w:rsid w:val="00451717"/>
    <w:rsid w:val="00456A43"/>
    <w:rsid w:val="0047011D"/>
    <w:rsid w:val="00476DF6"/>
    <w:rsid w:val="004829E8"/>
    <w:rsid w:val="00484E25"/>
    <w:rsid w:val="00491176"/>
    <w:rsid w:val="00494B5F"/>
    <w:rsid w:val="004A0985"/>
    <w:rsid w:val="004B618C"/>
    <w:rsid w:val="004E667A"/>
    <w:rsid w:val="004E70AF"/>
    <w:rsid w:val="00534592"/>
    <w:rsid w:val="00541737"/>
    <w:rsid w:val="005847DE"/>
    <w:rsid w:val="005946A3"/>
    <w:rsid w:val="005A68AD"/>
    <w:rsid w:val="005B0E14"/>
    <w:rsid w:val="005B4E9C"/>
    <w:rsid w:val="005E3C9E"/>
    <w:rsid w:val="005F4FFF"/>
    <w:rsid w:val="005F50BB"/>
    <w:rsid w:val="00603402"/>
    <w:rsid w:val="006110EE"/>
    <w:rsid w:val="00621647"/>
    <w:rsid w:val="00622037"/>
    <w:rsid w:val="006372BA"/>
    <w:rsid w:val="0064571E"/>
    <w:rsid w:val="00662C0D"/>
    <w:rsid w:val="0067000C"/>
    <w:rsid w:val="00670F1C"/>
    <w:rsid w:val="00684C38"/>
    <w:rsid w:val="006A3059"/>
    <w:rsid w:val="006A4333"/>
    <w:rsid w:val="006C48D0"/>
    <w:rsid w:val="006C5976"/>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44FB9"/>
    <w:rsid w:val="00956E69"/>
    <w:rsid w:val="00961A9D"/>
    <w:rsid w:val="00964D88"/>
    <w:rsid w:val="009A335B"/>
    <w:rsid w:val="009D36FF"/>
    <w:rsid w:val="009F19F0"/>
    <w:rsid w:val="009F61D7"/>
    <w:rsid w:val="00A16083"/>
    <w:rsid w:val="00A17FD6"/>
    <w:rsid w:val="00A2761F"/>
    <w:rsid w:val="00A40AEF"/>
    <w:rsid w:val="00A42C28"/>
    <w:rsid w:val="00A868EF"/>
    <w:rsid w:val="00AA0195"/>
    <w:rsid w:val="00AC247E"/>
    <w:rsid w:val="00AD2FA5"/>
    <w:rsid w:val="00AD59AE"/>
    <w:rsid w:val="00AF21B9"/>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0378E"/>
    <w:rsid w:val="00C17793"/>
    <w:rsid w:val="00C33279"/>
    <w:rsid w:val="00C3439A"/>
    <w:rsid w:val="00C66EAE"/>
    <w:rsid w:val="00C76724"/>
    <w:rsid w:val="00C9202B"/>
    <w:rsid w:val="00C93F90"/>
    <w:rsid w:val="00CC124E"/>
    <w:rsid w:val="00CC3862"/>
    <w:rsid w:val="00CE11BE"/>
    <w:rsid w:val="00CE2437"/>
    <w:rsid w:val="00CE53A5"/>
    <w:rsid w:val="00D0769A"/>
    <w:rsid w:val="00D10AB5"/>
    <w:rsid w:val="00D22789"/>
    <w:rsid w:val="00D22E27"/>
    <w:rsid w:val="00D52529"/>
    <w:rsid w:val="00D745BB"/>
    <w:rsid w:val="00D93F77"/>
    <w:rsid w:val="00DA0FA6"/>
    <w:rsid w:val="00DA1055"/>
    <w:rsid w:val="00DA3F41"/>
    <w:rsid w:val="00DD08E4"/>
    <w:rsid w:val="00DD11DD"/>
    <w:rsid w:val="00DD20C6"/>
    <w:rsid w:val="00DE3303"/>
    <w:rsid w:val="00DE4DFD"/>
    <w:rsid w:val="00DE54CD"/>
    <w:rsid w:val="00DF16A0"/>
    <w:rsid w:val="00DF3B30"/>
    <w:rsid w:val="00DF4595"/>
    <w:rsid w:val="00DF6D48"/>
    <w:rsid w:val="00DF7718"/>
    <w:rsid w:val="00DF79D8"/>
    <w:rsid w:val="00E052E9"/>
    <w:rsid w:val="00E146BE"/>
    <w:rsid w:val="00E31372"/>
    <w:rsid w:val="00E527E2"/>
    <w:rsid w:val="00E64407"/>
    <w:rsid w:val="00E67522"/>
    <w:rsid w:val="00E7183D"/>
    <w:rsid w:val="00E915FC"/>
    <w:rsid w:val="00E962A9"/>
    <w:rsid w:val="00E96EA3"/>
    <w:rsid w:val="00EC5145"/>
    <w:rsid w:val="00EC55C5"/>
    <w:rsid w:val="00ED6148"/>
    <w:rsid w:val="00EE279C"/>
    <w:rsid w:val="00EE3026"/>
    <w:rsid w:val="00F03941"/>
    <w:rsid w:val="00F14452"/>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30.png"/><Relationship Id="rId13" Type="http://schemas.openxmlformats.org/officeDocument/2006/relationships/image" Target="media/image4.emf"/><Relationship Id="rId14" Type="http://schemas.openxmlformats.org/officeDocument/2006/relationships/image" Target="media/image40.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8" Type="http://schemas.openxmlformats.org/officeDocument/2006/relationships/image" Target="media/image10.emf"/><Relationship Id="rId9" Type="http://schemas.openxmlformats.org/officeDocument/2006/relationships/image" Target="media/image2.emf"/><Relationship Id="rId10"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1E23725-B034-D646-BCC9-42DCE3B1A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6</Pages>
  <Words>11368</Words>
  <Characters>64803</Characters>
  <Application>Microsoft Macintosh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179</cp:revision>
  <cp:lastPrinted>2018-03-27T18:03:00Z</cp:lastPrinted>
  <dcterms:created xsi:type="dcterms:W3CDTF">2018-03-18T20:34:00Z</dcterms:created>
  <dcterms:modified xsi:type="dcterms:W3CDTF">2018-04-03T19:46:00Z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